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9F000" w14:textId="77777777" w:rsidR="006B0F84" w:rsidRDefault="006B0F84" w:rsidP="006B0F84">
      <w:r>
        <w:rPr>
          <w:noProof/>
        </w:rPr>
        <w:drawing>
          <wp:inline distT="0" distB="0" distL="0" distR="0" wp14:anchorId="2A35D09C" wp14:editId="6D90CB7C">
            <wp:extent cx="25603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60320" cy="685800"/>
                    </a:xfrm>
                    <a:prstGeom prst="rect">
                      <a:avLst/>
                    </a:prstGeom>
                    <a:noFill/>
                    <a:ln>
                      <a:noFill/>
                    </a:ln>
                  </pic:spPr>
                </pic:pic>
              </a:graphicData>
            </a:graphic>
          </wp:inline>
        </w:drawing>
      </w:r>
    </w:p>
    <w:p w14:paraId="4BF919A6" w14:textId="77777777" w:rsidR="006B0F84" w:rsidRDefault="006B0F84" w:rsidP="006B0F84">
      <w:pPr>
        <w:jc w:val="center"/>
        <w:rPr>
          <w:b/>
          <w:bCs/>
          <w:sz w:val="36"/>
          <w:szCs w:val="36"/>
          <w:u w:val="single"/>
        </w:rPr>
      </w:pPr>
    </w:p>
    <w:p w14:paraId="2E59D37E" w14:textId="77777777" w:rsidR="006B0F84" w:rsidRDefault="006B0F84" w:rsidP="006B0F84">
      <w:pPr>
        <w:jc w:val="center"/>
        <w:rPr>
          <w:b/>
          <w:bCs/>
          <w:sz w:val="36"/>
          <w:szCs w:val="36"/>
          <w:u w:val="single"/>
        </w:rPr>
      </w:pPr>
      <w:r>
        <w:rPr>
          <w:b/>
          <w:bCs/>
          <w:sz w:val="36"/>
          <w:szCs w:val="36"/>
          <w:u w:val="single"/>
        </w:rPr>
        <w:t>Friday Review—9/6/19</w:t>
      </w:r>
    </w:p>
    <w:p w14:paraId="4713489D" w14:textId="77777777" w:rsidR="006B0F84" w:rsidRDefault="006B0F84" w:rsidP="006B0F84">
      <w:pPr>
        <w:rPr>
          <w:sz w:val="24"/>
          <w:szCs w:val="24"/>
        </w:rPr>
      </w:pPr>
    </w:p>
    <w:p w14:paraId="49D57F95" w14:textId="77777777" w:rsidR="006B0F84" w:rsidRDefault="006B0F84" w:rsidP="006B0F84">
      <w:pPr>
        <w:rPr>
          <w:sz w:val="24"/>
          <w:szCs w:val="24"/>
        </w:rPr>
      </w:pPr>
      <w:r>
        <w:rPr>
          <w:sz w:val="24"/>
          <w:szCs w:val="24"/>
        </w:rPr>
        <w:t>Good afternoon, and welcome to the second edition of Friday Review.  Thanks for all the positive feedback.  Happy Friday!</w:t>
      </w:r>
    </w:p>
    <w:p w14:paraId="1E8C5B16" w14:textId="77777777" w:rsidR="006B0F84" w:rsidRDefault="006B0F84" w:rsidP="006B0F84">
      <w:pPr>
        <w:rPr>
          <w:sz w:val="24"/>
          <w:szCs w:val="24"/>
        </w:rPr>
      </w:pPr>
    </w:p>
    <w:p w14:paraId="098F1A4F" w14:textId="77777777" w:rsidR="006B0F84" w:rsidRDefault="006B0F84" w:rsidP="006B0F84">
      <w:pPr>
        <w:rPr>
          <w:sz w:val="24"/>
          <w:szCs w:val="24"/>
        </w:rPr>
      </w:pPr>
      <w:r>
        <w:rPr>
          <w:sz w:val="24"/>
          <w:szCs w:val="24"/>
        </w:rPr>
        <w:t>The week was bookended by two media articles, one positive for our industry and the other not as much.</w:t>
      </w:r>
    </w:p>
    <w:p w14:paraId="51F10ED5" w14:textId="77777777" w:rsidR="006B0F84" w:rsidRDefault="006B0F84" w:rsidP="006B0F84">
      <w:pPr>
        <w:rPr>
          <w:sz w:val="24"/>
          <w:szCs w:val="24"/>
        </w:rPr>
      </w:pPr>
    </w:p>
    <w:p w14:paraId="27D2DBD2" w14:textId="77777777" w:rsidR="006B0F84" w:rsidRDefault="006B0F84" w:rsidP="006B0F84">
      <w:pPr>
        <w:rPr>
          <w:sz w:val="24"/>
          <w:szCs w:val="24"/>
        </w:rPr>
      </w:pPr>
      <w:r>
        <w:rPr>
          <w:b/>
          <w:bCs/>
          <w:sz w:val="24"/>
          <w:szCs w:val="24"/>
          <w:u w:val="single"/>
        </w:rPr>
        <w:t>Convergence #1</w:t>
      </w:r>
      <w:r>
        <w:rPr>
          <w:sz w:val="24"/>
          <w:szCs w:val="24"/>
        </w:rPr>
        <w:t>—Richard Asinov of Convergence did a lengthy interview with me prior to his interviewing the new EOHHS Secretary, Womazetta Jones.  The entire interview was printed (and I mean every last word) and can be found here:</w:t>
      </w:r>
    </w:p>
    <w:p w14:paraId="5F47C3FB" w14:textId="77777777" w:rsidR="006B0F84" w:rsidRDefault="006B0F84" w:rsidP="006B0F84">
      <w:hyperlink r:id="rId9" w:history="1">
        <w:r>
          <w:rPr>
            <w:rStyle w:val="Hyperlink"/>
          </w:rPr>
          <w:t>http://newsletter.convergenceri.com/stories/the-issue-is-still-uhip-says-scott-fraser-president-and-ceo-of-rihca,5171</w:t>
        </w:r>
      </w:hyperlink>
    </w:p>
    <w:p w14:paraId="5F3652F7" w14:textId="77777777" w:rsidR="006B0F84" w:rsidRDefault="006B0F84" w:rsidP="006B0F84">
      <w:pPr>
        <w:rPr>
          <w:sz w:val="24"/>
          <w:szCs w:val="24"/>
        </w:rPr>
      </w:pPr>
    </w:p>
    <w:p w14:paraId="4219C551" w14:textId="77777777" w:rsidR="006B0F84" w:rsidRDefault="006B0F84" w:rsidP="006B0F84">
      <w:pPr>
        <w:rPr>
          <w:sz w:val="24"/>
          <w:szCs w:val="24"/>
        </w:rPr>
      </w:pPr>
      <w:r>
        <w:rPr>
          <w:b/>
          <w:bCs/>
          <w:sz w:val="24"/>
          <w:szCs w:val="24"/>
          <w:u w:val="single"/>
        </w:rPr>
        <w:t>Friday ProJo</w:t>
      </w:r>
      <w:r>
        <w:rPr>
          <w:b/>
          <w:bCs/>
          <w:sz w:val="24"/>
          <w:szCs w:val="24"/>
        </w:rPr>
        <w:t>—</w:t>
      </w:r>
      <w:r>
        <w:rPr>
          <w:sz w:val="24"/>
          <w:szCs w:val="24"/>
        </w:rPr>
        <w:t>The week ended with an article in the Providence Journal about a court ruling involving a couple of our members.</w:t>
      </w:r>
    </w:p>
    <w:p w14:paraId="71B38A5E" w14:textId="77777777" w:rsidR="006B0F84" w:rsidRDefault="006B0F84" w:rsidP="006B0F84">
      <w:pPr>
        <w:rPr>
          <w:sz w:val="24"/>
          <w:szCs w:val="24"/>
        </w:rPr>
      </w:pPr>
      <w:hyperlink r:id="rId10" w:history="1">
        <w:r>
          <w:rPr>
            <w:rStyle w:val="Hyperlink"/>
            <w:sz w:val="24"/>
            <w:szCs w:val="24"/>
          </w:rPr>
          <w:t>https://www.providencejournal.com/news/20190905/3-ri-nursing-homes-pay-200k-in-back-wages-penalties</w:t>
        </w:r>
      </w:hyperlink>
    </w:p>
    <w:p w14:paraId="0FD01F1A" w14:textId="77777777" w:rsidR="006B0F84" w:rsidRDefault="006B0F84" w:rsidP="006B0F84">
      <w:pPr>
        <w:rPr>
          <w:sz w:val="24"/>
          <w:szCs w:val="24"/>
        </w:rPr>
      </w:pPr>
    </w:p>
    <w:p w14:paraId="3E45F21A" w14:textId="77777777" w:rsidR="006B0F84" w:rsidRDefault="006B0F84" w:rsidP="006B0F84">
      <w:pPr>
        <w:rPr>
          <w:sz w:val="24"/>
          <w:szCs w:val="24"/>
        </w:rPr>
      </w:pPr>
      <w:r>
        <w:rPr>
          <w:b/>
          <w:bCs/>
          <w:sz w:val="24"/>
          <w:szCs w:val="24"/>
          <w:u w:val="single"/>
        </w:rPr>
        <w:t>Convergence #2</w:t>
      </w:r>
      <w:r>
        <w:rPr>
          <w:sz w:val="24"/>
          <w:szCs w:val="24"/>
        </w:rPr>
        <w:t xml:space="preserve">—This week’s Convergence also contains the full interview Richard did with Secretary Jones. </w:t>
      </w:r>
    </w:p>
    <w:p w14:paraId="1C659821" w14:textId="77777777" w:rsidR="006B0F84" w:rsidRDefault="006B0F84" w:rsidP="006B0F84">
      <w:pPr>
        <w:rPr>
          <w:sz w:val="24"/>
          <w:szCs w:val="24"/>
        </w:rPr>
      </w:pPr>
      <w:hyperlink r:id="rId11" w:history="1">
        <w:r>
          <w:rPr>
            <w:rStyle w:val="Hyperlink"/>
            <w:sz w:val="24"/>
            <w:szCs w:val="24"/>
          </w:rPr>
          <w:t>http://newsletter.convergenceri.com/stories/a-change-is-going-to-come,5179</w:t>
        </w:r>
      </w:hyperlink>
    </w:p>
    <w:p w14:paraId="0089E4D0" w14:textId="77777777" w:rsidR="006B0F84" w:rsidRDefault="006B0F84" w:rsidP="006B0F84">
      <w:pPr>
        <w:rPr>
          <w:sz w:val="24"/>
          <w:szCs w:val="24"/>
        </w:rPr>
      </w:pPr>
    </w:p>
    <w:p w14:paraId="451BA33A" w14:textId="77777777" w:rsidR="006B0F84" w:rsidRDefault="006B0F84" w:rsidP="006B0F84">
      <w:pPr>
        <w:rPr>
          <w:color w:val="1F497D"/>
          <w:sz w:val="24"/>
          <w:szCs w:val="24"/>
        </w:rPr>
      </w:pPr>
      <w:r>
        <w:rPr>
          <w:b/>
          <w:bCs/>
          <w:sz w:val="24"/>
          <w:szCs w:val="24"/>
          <w:u w:val="single"/>
        </w:rPr>
        <w:t>Personal Protective Equipment</w:t>
      </w:r>
      <w:r>
        <w:rPr>
          <w:b/>
          <w:bCs/>
          <w:sz w:val="24"/>
          <w:szCs w:val="24"/>
        </w:rPr>
        <w:t>—</w:t>
      </w:r>
      <w:r>
        <w:rPr>
          <w:sz w:val="24"/>
          <w:szCs w:val="24"/>
        </w:rPr>
        <w:t>I received an email from Associate Member Leslie at East Side Clinical Labs.  She asked me to remind everyone of the new interim guidance which came out on 7/26/19.  She says it better than I can:</w:t>
      </w:r>
    </w:p>
    <w:p w14:paraId="5051D398" w14:textId="77777777" w:rsidR="006B0F84" w:rsidRDefault="006B0F84" w:rsidP="006B0F84">
      <w:pPr>
        <w:rPr>
          <w:color w:val="1F497D"/>
          <w:sz w:val="24"/>
          <w:szCs w:val="24"/>
        </w:rPr>
      </w:pPr>
      <w:hyperlink r:id="rId12" w:history="1">
        <w:r>
          <w:rPr>
            <w:rStyle w:val="Hyperlink"/>
            <w:sz w:val="24"/>
            <w:szCs w:val="24"/>
          </w:rPr>
          <w:t>https://www.cdc.gov/hai/containment/PPE-Nursing-Homes.html</w:t>
        </w:r>
      </w:hyperlink>
      <w:r>
        <w:rPr>
          <w:color w:val="1F497D"/>
          <w:sz w:val="24"/>
          <w:szCs w:val="24"/>
        </w:rPr>
        <w:t xml:space="preserve"> </w:t>
      </w:r>
    </w:p>
    <w:p w14:paraId="6E2F4642" w14:textId="77777777" w:rsidR="006B0F84" w:rsidRDefault="006B0F84" w:rsidP="006B0F84">
      <w:pPr>
        <w:rPr>
          <w:sz w:val="24"/>
          <w:szCs w:val="24"/>
        </w:rPr>
      </w:pPr>
      <w:r>
        <w:rPr>
          <w:sz w:val="24"/>
          <w:szCs w:val="24"/>
        </w:rPr>
        <w:t xml:space="preserve">“Implementation of Personal Protective Equipment (PPE) in Nursing Homes to Prevent Spread of Novel or Targeted Multidrug-resistant Organisms (MDROs) </w:t>
      </w:r>
    </w:p>
    <w:p w14:paraId="26A73C3A" w14:textId="77777777" w:rsidR="006B0F84" w:rsidRDefault="006B0F84" w:rsidP="006B0F84">
      <w:pPr>
        <w:rPr>
          <w:sz w:val="24"/>
          <w:szCs w:val="24"/>
        </w:rPr>
      </w:pPr>
      <w:r>
        <w:rPr>
          <w:sz w:val="24"/>
          <w:szCs w:val="24"/>
        </w:rPr>
        <w:t xml:space="preserve">This document is intended to provide guidance for PPE use and room restriction in nursing homes for preventing transmission of novel or targeted MDROs, including as part of a public health </w:t>
      </w:r>
      <w:hyperlink r:id="rId13" w:history="1">
        <w:r>
          <w:rPr>
            <w:rStyle w:val="Hyperlink"/>
            <w:sz w:val="24"/>
            <w:szCs w:val="24"/>
          </w:rPr>
          <w:t>containment response</w:t>
        </w:r>
      </w:hyperlink>
      <w:r>
        <w:rPr>
          <w:sz w:val="24"/>
          <w:szCs w:val="24"/>
        </w:rPr>
        <w:t>. This guidance introduces a new approach called Enhanced Barrier Precautions, which falls between Standard and Contact Precautions, and requires gown and glove use for certain residents during specific high-contact resident care activities [</w:t>
      </w:r>
      <w:hyperlink r:id="rId14" w:anchor="2" w:history="1">
        <w:r>
          <w:rPr>
            <w:rStyle w:val="Hyperlink"/>
            <w:sz w:val="24"/>
            <w:szCs w:val="24"/>
          </w:rPr>
          <w:t>2</w:t>
        </w:r>
      </w:hyperlink>
      <w:r>
        <w:rPr>
          <w:sz w:val="24"/>
          <w:szCs w:val="24"/>
        </w:rPr>
        <w:t>,</w:t>
      </w:r>
      <w:hyperlink r:id="rId15" w:anchor="3" w:history="1">
        <w:r>
          <w:rPr>
            <w:rStyle w:val="Hyperlink"/>
            <w:sz w:val="24"/>
            <w:szCs w:val="24"/>
          </w:rPr>
          <w:t>3</w:t>
        </w:r>
      </w:hyperlink>
      <w:r>
        <w:rPr>
          <w:sz w:val="24"/>
          <w:szCs w:val="24"/>
        </w:rPr>
        <w:t>] that have been found to increase risk for MDRO transmission.”</w:t>
      </w:r>
    </w:p>
    <w:p w14:paraId="78BE466C" w14:textId="77777777" w:rsidR="006B0F84" w:rsidRDefault="006B0F84" w:rsidP="006B0F84">
      <w:pPr>
        <w:rPr>
          <w:sz w:val="24"/>
          <w:szCs w:val="24"/>
        </w:rPr>
      </w:pPr>
      <w:r>
        <w:rPr>
          <w:sz w:val="24"/>
          <w:szCs w:val="24"/>
        </w:rPr>
        <w:t>Thank you Leslie!</w:t>
      </w:r>
    </w:p>
    <w:p w14:paraId="36A096C5" w14:textId="77777777" w:rsidR="006B0F84" w:rsidRDefault="006B0F84" w:rsidP="006B0F84">
      <w:pPr>
        <w:rPr>
          <w:sz w:val="24"/>
          <w:szCs w:val="24"/>
        </w:rPr>
      </w:pPr>
    </w:p>
    <w:p w14:paraId="49C4CF05" w14:textId="77777777" w:rsidR="006B0F84" w:rsidRDefault="006B0F84" w:rsidP="006B0F84">
      <w:pPr>
        <w:rPr>
          <w:sz w:val="24"/>
          <w:szCs w:val="24"/>
        </w:rPr>
      </w:pPr>
      <w:r>
        <w:rPr>
          <w:b/>
          <w:bCs/>
          <w:sz w:val="24"/>
          <w:szCs w:val="24"/>
          <w:u w:val="single"/>
        </w:rPr>
        <w:lastRenderedPageBreak/>
        <w:t>PDPM</w:t>
      </w:r>
      <w:r>
        <w:rPr>
          <w:sz w:val="24"/>
          <w:szCs w:val="24"/>
        </w:rPr>
        <w:t xml:space="preserve">—Saw this article in Skilled Nursing News this week.  The title says it all: </w:t>
      </w:r>
      <w:r>
        <w:rPr>
          <w:sz w:val="24"/>
          <w:szCs w:val="24"/>
        </w:rPr>
        <w:br/>
        <w:t>“How Skilled Nursing Operators Can Survive the New PDPM Compliance Landscape”</w:t>
      </w:r>
    </w:p>
    <w:p w14:paraId="1E46C949" w14:textId="77777777" w:rsidR="006B0F84" w:rsidRDefault="006B0F84" w:rsidP="006B0F84">
      <w:pPr>
        <w:rPr>
          <w:sz w:val="24"/>
          <w:szCs w:val="24"/>
        </w:rPr>
      </w:pPr>
      <w:hyperlink r:id="rId16" w:history="1">
        <w:r>
          <w:rPr>
            <w:rStyle w:val="Hyperlink"/>
            <w:sz w:val="24"/>
            <w:szCs w:val="24"/>
          </w:rPr>
          <w:t>https://skillednursingnews.com/2019/09/how-skilled-nursing-operators-can-survive-the-new-pdpm-compliance-landscape/</w:t>
        </w:r>
      </w:hyperlink>
    </w:p>
    <w:p w14:paraId="1CA4C086" w14:textId="77777777" w:rsidR="006B0F84" w:rsidRDefault="006B0F84" w:rsidP="006B0F84">
      <w:pPr>
        <w:rPr>
          <w:sz w:val="24"/>
          <w:szCs w:val="24"/>
        </w:rPr>
      </w:pPr>
    </w:p>
    <w:p w14:paraId="777AA7B2" w14:textId="77777777" w:rsidR="006B0F84" w:rsidRDefault="006B0F84" w:rsidP="006B0F84">
      <w:pPr>
        <w:rPr>
          <w:sz w:val="24"/>
          <w:szCs w:val="24"/>
        </w:rPr>
      </w:pPr>
      <w:r>
        <w:rPr>
          <w:b/>
          <w:bCs/>
          <w:sz w:val="24"/>
          <w:szCs w:val="24"/>
          <w:u w:val="single"/>
        </w:rPr>
        <w:t>Preparing for PDPM</w:t>
      </w:r>
      <w:r>
        <w:rPr>
          <w:sz w:val="24"/>
          <w:szCs w:val="24"/>
        </w:rPr>
        <w:t>—Here are some tips from AHCA as we approach October 1.</w:t>
      </w:r>
    </w:p>
    <w:p w14:paraId="378061C2" w14:textId="77777777" w:rsidR="006B0F84" w:rsidRDefault="006B0F84" w:rsidP="006B0F84">
      <w:pPr>
        <w:rPr>
          <w:sz w:val="24"/>
          <w:szCs w:val="24"/>
        </w:rPr>
      </w:pPr>
      <w:hyperlink r:id="rId17" w:history="1">
        <w:r>
          <w:rPr>
            <w:rStyle w:val="Hyperlink"/>
            <w:sz w:val="24"/>
            <w:szCs w:val="24"/>
          </w:rPr>
          <w:t>https://view.exacttarget.com/?qs=4f3f570df6eb6d1005d2c28416452f5fc42d27fac236e34c86059c816e23014274d6a47163fe3072f970c6b4bdb9aa583d4cc9681edd3e46499e84ea6b496271288153151b1881cfc7bf4feddd2d09b26c64a6e06c5fd81a</w:t>
        </w:r>
      </w:hyperlink>
    </w:p>
    <w:p w14:paraId="53332053" w14:textId="77777777" w:rsidR="006B0F84" w:rsidRDefault="006B0F84" w:rsidP="006B0F84">
      <w:pPr>
        <w:rPr>
          <w:sz w:val="24"/>
          <w:szCs w:val="24"/>
        </w:rPr>
      </w:pPr>
    </w:p>
    <w:p w14:paraId="6B6BE99D" w14:textId="77777777" w:rsidR="006B0F84" w:rsidRDefault="006B0F84" w:rsidP="006B0F84">
      <w:pPr>
        <w:rPr>
          <w:sz w:val="24"/>
          <w:szCs w:val="24"/>
        </w:rPr>
      </w:pPr>
      <w:r>
        <w:rPr>
          <w:b/>
          <w:bCs/>
          <w:sz w:val="24"/>
          <w:szCs w:val="24"/>
          <w:u w:val="single"/>
        </w:rPr>
        <w:t>Hurricane Evacuation?</w:t>
      </w:r>
      <w:r>
        <w:rPr>
          <w:sz w:val="24"/>
          <w:szCs w:val="24"/>
        </w:rPr>
        <w:t xml:space="preserve">—Interesting read in Provider Daily this week.  An article says that in a hurricane it may be safer to shelter residents in place, than to evacuate them.  Sounds to me like this means we will get criticized no matter what we do—evacuate or keep residents in house.  In any case, a link to the article is here:  </w:t>
      </w:r>
      <w:hyperlink r:id="rId18" w:history="1">
        <w:r>
          <w:rPr>
            <w:rStyle w:val="Hyperlink"/>
            <w:sz w:val="24"/>
            <w:szCs w:val="24"/>
          </w:rPr>
          <w:t>http://providerdaily.bulletinhealthcare.com/?d=190904&amp;</w:t>
        </w:r>
      </w:hyperlink>
    </w:p>
    <w:p w14:paraId="25EE2798" w14:textId="77777777" w:rsidR="006B0F84" w:rsidRDefault="006B0F84" w:rsidP="006B0F84"/>
    <w:p w14:paraId="3C71B9ED" w14:textId="77777777" w:rsidR="006B0F84" w:rsidRDefault="006B0F84" w:rsidP="006B0F84">
      <w:pPr>
        <w:rPr>
          <w:sz w:val="24"/>
          <w:szCs w:val="24"/>
        </w:rPr>
      </w:pPr>
      <w:r>
        <w:rPr>
          <w:b/>
          <w:bCs/>
          <w:sz w:val="24"/>
          <w:szCs w:val="24"/>
          <w:u w:val="single"/>
        </w:rPr>
        <w:t>A Reminder from AHCA</w:t>
      </w:r>
      <w:r>
        <w:rPr>
          <w:sz w:val="24"/>
          <w:szCs w:val="24"/>
        </w:rPr>
        <w:t>—AHCA is again reminding us that the deadline to submit comments on the proposed rule that eases some of the requirements of ROP is fast approaching (September 16)  I know at least a couple of our members are planning to submit comments.  For more information, please click here:</w:t>
      </w:r>
      <w:r>
        <w:t xml:space="preserve"> </w:t>
      </w:r>
      <w:hyperlink r:id="rId19" w:history="1">
        <w:r>
          <w:rPr>
            <w:rStyle w:val="Hyperlink"/>
          </w:rPr>
          <w:t>https://view.exacttarget.com/?qs=fbf37f75032e71923ef1e872dcf40b00aaa9276021f061bb0d00a3da5cf5f8572e9eb5cadf0d6de67b1dfff8fb341ed11c8279ddf1a57f2202450233748add6c098a07665315bdf617a2a1aea5d4f78474897626283518cd</w:t>
        </w:r>
      </w:hyperlink>
    </w:p>
    <w:p w14:paraId="71F68C6A" w14:textId="77777777" w:rsidR="006B0F84" w:rsidRDefault="006B0F84" w:rsidP="006B0F84">
      <w:pPr>
        <w:rPr>
          <w:sz w:val="24"/>
          <w:szCs w:val="24"/>
        </w:rPr>
      </w:pPr>
    </w:p>
    <w:p w14:paraId="1A75BE1D" w14:textId="77777777" w:rsidR="006B0F84" w:rsidRDefault="006B0F84" w:rsidP="006B0F84">
      <w:pPr>
        <w:rPr>
          <w:sz w:val="24"/>
          <w:szCs w:val="24"/>
        </w:rPr>
      </w:pPr>
      <w:r>
        <w:rPr>
          <w:sz w:val="24"/>
          <w:szCs w:val="24"/>
        </w:rPr>
        <w:t>Thanks so much for reading!  Hope you have a great weekend!  See you next Friday.</w:t>
      </w:r>
    </w:p>
    <w:p w14:paraId="320B1EE6" w14:textId="77777777" w:rsidR="006B0F84" w:rsidRDefault="006B0F84" w:rsidP="006B0F84">
      <w:pPr>
        <w:rPr>
          <w:sz w:val="24"/>
          <w:szCs w:val="24"/>
        </w:rPr>
      </w:pPr>
    </w:p>
    <w:p w14:paraId="6FAD3884" w14:textId="77777777" w:rsidR="006B0F84" w:rsidRDefault="006B0F84" w:rsidP="006B0F84">
      <w:pPr>
        <w:rPr>
          <w:sz w:val="24"/>
          <w:szCs w:val="24"/>
        </w:rPr>
      </w:pPr>
      <w:r>
        <w:rPr>
          <w:sz w:val="24"/>
          <w:szCs w:val="24"/>
        </w:rPr>
        <w:t>GO PATS!</w:t>
      </w:r>
    </w:p>
    <w:p w14:paraId="635E0D6C" w14:textId="77777777" w:rsidR="0067578A" w:rsidRDefault="0067578A">
      <w:bookmarkStart w:id="0" w:name="_GoBack"/>
      <w:bookmarkEnd w:id="0"/>
    </w:p>
    <w:sectPr w:rsidR="00675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84"/>
    <w:rsid w:val="0067578A"/>
    <w:rsid w:val="006B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CE87"/>
  <w15:chartTrackingRefBased/>
  <w15:docId w15:val="{D23496B5-9D72-4B20-BE9E-E298EC19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0F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0F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64C1.0634D890" TargetMode="External"/><Relationship Id="rId13" Type="http://schemas.openxmlformats.org/officeDocument/2006/relationships/hyperlink" Target="https://www.cdc.gov/hai/containment/index.html" TargetMode="External"/><Relationship Id="rId18" Type="http://schemas.openxmlformats.org/officeDocument/2006/relationships/hyperlink" Target="http://providerdaily.bulletinhealthcare.com/?d=190904&am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cdc.gov/hai/containment/PPE-Nursing-Homes.html" TargetMode="External"/><Relationship Id="rId17" Type="http://schemas.openxmlformats.org/officeDocument/2006/relationships/hyperlink" Target="https://view.exacttarget.com/?qs=4f3f570df6eb6d1005d2c28416452f5fc42d27fac236e34c86059c816e23014274d6a47163fe3072f970c6b4bdb9aa583d4cc9681edd3e46499e84ea6b496271288153151b1881cfc7bf4feddd2d09b26c64a6e06c5fd81a" TargetMode="External"/><Relationship Id="rId2" Type="http://schemas.openxmlformats.org/officeDocument/2006/relationships/customXml" Target="../customXml/item2.xml"/><Relationship Id="rId16" Type="http://schemas.openxmlformats.org/officeDocument/2006/relationships/hyperlink" Target="https://skillednursingnews.com/2019/09/how-skilled-nursing-operators-can-survive-the-new-pdpm-compliance-landsca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letter.convergenceri.com/stories/a-change-is-going-to-come,5179" TargetMode="External"/><Relationship Id="rId5" Type="http://schemas.openxmlformats.org/officeDocument/2006/relationships/settings" Target="settings.xml"/><Relationship Id="rId15" Type="http://schemas.openxmlformats.org/officeDocument/2006/relationships/hyperlink" Target="https://www.cdc.gov/hai/containment/PPE-Nursing-Homes.html" TargetMode="External"/><Relationship Id="rId10" Type="http://schemas.openxmlformats.org/officeDocument/2006/relationships/hyperlink" Target="https://www.providencejournal.com/news/20190905/3-ri-nursing-homes-pay-200k-in-back-wages-penalties" TargetMode="External"/><Relationship Id="rId19" Type="http://schemas.openxmlformats.org/officeDocument/2006/relationships/hyperlink" Target="https://view.exacttarget.com/?qs=fbf37f75032e71923ef1e872dcf40b00aaa9276021f061bb0d00a3da5cf5f8572e9eb5cadf0d6de67b1dfff8fb341ed11c8279ddf1a57f2202450233748add6c098a07665315bdf617a2a1aea5d4f78474897626283518cd" TargetMode="External"/><Relationship Id="rId4" Type="http://schemas.openxmlformats.org/officeDocument/2006/relationships/styles" Target="styles.xml"/><Relationship Id="rId9" Type="http://schemas.openxmlformats.org/officeDocument/2006/relationships/hyperlink" Target="http://newsletter.convergenceri.com/stories/the-issue-is-still-uhip-says-scott-fraser-president-and-ceo-of-rihca,5171" TargetMode="External"/><Relationship Id="rId14" Type="http://schemas.openxmlformats.org/officeDocument/2006/relationships/hyperlink" Target="https://www.cdc.gov/hai/containment/PPE-Nursing-H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0" ma:contentTypeDescription="Create a new document." ma:contentTypeScope="" ma:versionID="563c89cdd0db327442e6863e29db48fb">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1271d3f80b1ccc8415d5a51c02609432"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E1096-0F5F-4B5F-A045-AE35480C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e9734-716c-4746-9f77-cc69356c7ab9"/>
    <ds:schemaRef ds:uri="d28bde40-18f8-4261-a3fc-7ffb1625c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179A8-72C0-488B-81BC-BCBCFE34B940}">
  <ds:schemaRefs>
    <ds:schemaRef ds:uri="http://schemas.microsoft.com/sharepoint/v3/contenttype/forms"/>
  </ds:schemaRefs>
</ds:datastoreItem>
</file>

<file path=customXml/itemProps3.xml><?xml version="1.0" encoding="utf-8"?>
<ds:datastoreItem xmlns:ds="http://schemas.openxmlformats.org/officeDocument/2006/customXml" ds:itemID="{AEA94681-6546-487E-B1A0-AD25DAE45A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Prue</dc:creator>
  <cp:keywords/>
  <dc:description/>
  <cp:lastModifiedBy>Tracy Prue</cp:lastModifiedBy>
  <cp:revision>1</cp:revision>
  <dcterms:created xsi:type="dcterms:W3CDTF">2019-10-22T12:58:00Z</dcterms:created>
  <dcterms:modified xsi:type="dcterms:W3CDTF">2019-10-22T12:59:00Z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